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40" w:rsidRDefault="00113D40" w:rsidP="00113D40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</w:t>
      </w:r>
    </w:p>
    <w:p w:rsidR="00113D40" w:rsidRPr="00853091" w:rsidRDefault="00113D40" w:rsidP="00113D40">
      <w:pPr>
        <w:jc w:val="center"/>
        <w:rPr>
          <w:b/>
          <w:sz w:val="28"/>
          <w:szCs w:val="28"/>
          <w:lang w:val="uk-UA"/>
        </w:rPr>
      </w:pPr>
      <w:r w:rsidRPr="00CB548C">
        <w:rPr>
          <w:b/>
          <w:sz w:val="28"/>
          <w:szCs w:val="28"/>
          <w:lang w:val="uk-UA"/>
        </w:rPr>
        <w:t xml:space="preserve"> комп’ютерної графіки та анімації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Pr="006E28FD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113D40" w:rsidRPr="00042BB4" w:rsidRDefault="00113D40" w:rsidP="00113D40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комп’ютерної графіки та анімації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>
        <w:rPr>
          <w:spacing w:val="-1"/>
          <w:sz w:val="28"/>
          <w:szCs w:val="28"/>
          <w:lang w:val="uk-UA"/>
        </w:rPr>
        <w:t xml:space="preserve">з </w:t>
      </w:r>
      <w:r w:rsidRPr="006E28FD">
        <w:rPr>
          <w:sz w:val="28"/>
          <w:szCs w:val="28"/>
          <w:lang w:val="uk-UA"/>
        </w:rPr>
        <w:t>метою</w:t>
      </w:r>
      <w:r w:rsidRPr="00404EA8">
        <w:rPr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 xml:space="preserve">формування </w:t>
      </w:r>
      <w:r w:rsidRPr="00404EA8">
        <w:rPr>
          <w:sz w:val="28"/>
          <w:szCs w:val="28"/>
          <w:lang w:val="uk-UA"/>
        </w:rPr>
        <w:t>креативного</w:t>
      </w:r>
      <w:r w:rsidRPr="00A24C0F">
        <w:rPr>
          <w:sz w:val="28"/>
          <w:szCs w:val="28"/>
          <w:lang w:val="uk-UA"/>
        </w:rPr>
        <w:t xml:space="preserve"> мислення школярів в процесі освоєння сучасних комп'ютерних технологій при створенні художньо значущих робіт</w:t>
      </w:r>
      <w:r w:rsidRPr="00CA03DF">
        <w:rPr>
          <w:sz w:val="28"/>
          <w:szCs w:val="28"/>
          <w:lang w:val="uk-UA"/>
        </w:rPr>
        <w:t xml:space="preserve">. </w:t>
      </w:r>
    </w:p>
    <w:p w:rsidR="00113D40" w:rsidRDefault="00113D40" w:rsidP="00113D40">
      <w:pPr>
        <w:widowControl w:val="0"/>
        <w:autoSpaceDE w:val="0"/>
        <w:autoSpaceDN w:val="0"/>
        <w:adjustRightInd w:val="0"/>
        <w:ind w:left="420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113D40" w:rsidRPr="00A24C0F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ind w:left="1276" w:hanging="425"/>
        <w:jc w:val="both"/>
        <w:rPr>
          <w:b/>
          <w:bCs/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розвиток творчих здібностей учнів, підвищення інтересу до учбового предмету "інформатика", стимулювання процесів впровадження інформаційних технологій в учбовий процес, демонстрація умінь і навиків використання комп'ютерної графіки;</w:t>
      </w:r>
    </w:p>
    <w:p w:rsidR="00113D40" w:rsidRPr="00A24C0F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spacing w:before="100" w:beforeAutospacing="1" w:after="100" w:afterAutospacing="1"/>
        <w:ind w:left="1276" w:hanging="425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виявлення і заохочення найбільш талановитих школярів. Розвиток дитячої творчості, реалізація творчого потенціалу учнів в області нових інформаційних технологій та візуального мистецтва;</w:t>
      </w:r>
    </w:p>
    <w:p w:rsidR="00113D40" w:rsidRPr="00404EA8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spacing w:before="100" w:beforeAutospacing="1" w:after="100" w:afterAutospacing="1"/>
        <w:ind w:left="1276" w:hanging="425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привертання уваги громадськості (зокрема професійної) до дитячої комп'ютерної творчості.</w:t>
      </w:r>
    </w:p>
    <w:p w:rsidR="00113D40" w:rsidRPr="006E28FD" w:rsidRDefault="00113D40" w:rsidP="00113D40">
      <w:pPr>
        <w:pStyle w:val="a8"/>
        <w:spacing w:after="0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113D40" w:rsidRPr="006E28FD" w:rsidRDefault="00113D40" w:rsidP="00113D40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113D40" w:rsidRDefault="00113D40" w:rsidP="00113D40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Форма проведення – заочна.</w:t>
      </w:r>
    </w:p>
    <w:p w:rsidR="00113D40" w:rsidRPr="006E28FD" w:rsidRDefault="00113D40" w:rsidP="00113D40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січні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113D40" w:rsidRPr="00A24C0F" w:rsidRDefault="00113D40" w:rsidP="00113D40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Pr="00A24C0F">
        <w:rPr>
          <w:sz w:val="28"/>
          <w:szCs w:val="28"/>
          <w:lang w:val="uk-UA"/>
        </w:rPr>
        <w:t xml:space="preserve">Конкурс проводиться в номінаціях: </w:t>
      </w:r>
      <w:r w:rsidRPr="00A24C0F">
        <w:rPr>
          <w:sz w:val="28"/>
          <w:szCs w:val="28"/>
          <w:lang w:val="uk-UA"/>
        </w:rPr>
        <w:br/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A24C0F">
        <w:rPr>
          <w:sz w:val="28"/>
          <w:szCs w:val="28"/>
          <w:lang w:val="uk-UA"/>
        </w:rPr>
        <w:t>;</w:t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відеоролики;</w:t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комп'ютерна графіка; </w:t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комп'ютерна анімація.</w:t>
      </w:r>
    </w:p>
    <w:p w:rsidR="00113D40" w:rsidRPr="00A24C0F" w:rsidRDefault="00113D40" w:rsidP="00113D40">
      <w:pPr>
        <w:spacing w:before="100" w:beforeAutospacing="1" w:after="100" w:afterAutospacing="1"/>
        <w:ind w:left="36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>До участі в конкурсі не допускаються роботи ненормативного змісту, а також роботи, що мають комерційну спрямованість.</w:t>
      </w:r>
    </w:p>
    <w:p w:rsidR="00113D40" w:rsidRPr="00365452" w:rsidRDefault="00113D40" w:rsidP="00113D40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113D40" w:rsidRDefault="00113D40" w:rsidP="00113D40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45D2">
        <w:rPr>
          <w:rFonts w:ascii="Times New Roman" w:hAnsi="Times New Roman"/>
          <w:sz w:val="28"/>
          <w:szCs w:val="28"/>
          <w:lang w:val="uk-UA"/>
        </w:rPr>
        <w:t>2.4.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kern w:val="20"/>
          <w:sz w:val="28"/>
          <w:szCs w:val="28"/>
          <w:lang w:val="uk-UA"/>
        </w:rPr>
        <w:t xml:space="preserve">Умови проведення конкурсу в номінації </w:t>
      </w:r>
      <w:r w:rsidRPr="00AB45D2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Арт-дизайн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, </w:t>
      </w:r>
      <w:proofErr w:type="spellStart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фотоколаж</w:t>
      </w:r>
      <w:proofErr w:type="spellEnd"/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»: </w:t>
      </w:r>
    </w:p>
    <w:p w:rsidR="00113D40" w:rsidRPr="00AB45D2" w:rsidRDefault="00113D40" w:rsidP="00113D40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Арт-дизайну, </w:t>
      </w:r>
      <w:proofErr w:type="spellStart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фотоколажу</w:t>
      </w:r>
      <w:proofErr w:type="spellEnd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>приймаються роботи формату A4,  виконані в різній техніці комп'ютерної графіки. Вони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 можуть бити виконані у будь-якому графічному пакеті (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Corel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PhotoShop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, 3D-MAX, тощо). Файл-робота конвертується у формат </w:t>
      </w:r>
      <w:r w:rsidRPr="00AB45D2">
        <w:rPr>
          <w:rFonts w:ascii="Times New Roman" w:hAnsi="Times New Roman"/>
          <w:sz w:val="28"/>
          <w:szCs w:val="28"/>
          <w:lang w:val="en-US"/>
        </w:rPr>
        <w:t>JPG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D257E4">
        <w:rPr>
          <w:rFonts w:ascii="Times New Roman" w:hAnsi="Times New Roman"/>
          <w:bCs/>
          <w:sz w:val="28"/>
          <w:szCs w:val="28"/>
          <w:lang w:val="uk-UA"/>
        </w:rPr>
        <w:t>ктронний</w:t>
      </w:r>
      <w:proofErr w:type="spellEnd"/>
      <w:r w:rsidR="00D257E4">
        <w:rPr>
          <w:rFonts w:ascii="Times New Roman" w:hAnsi="Times New Roman"/>
          <w:bCs/>
          <w:sz w:val="28"/>
          <w:szCs w:val="28"/>
          <w:lang w:val="uk-UA"/>
        </w:rPr>
        <w:t xml:space="preserve"> варіант завантажується разом з анкетою.</w:t>
      </w:r>
    </w:p>
    <w:p w:rsidR="00113D40" w:rsidRPr="00365452" w:rsidRDefault="00113D40" w:rsidP="00113D40">
      <w:pPr>
        <w:ind w:left="75" w:firstLine="351"/>
        <w:jc w:val="both"/>
        <w:rPr>
          <w:b/>
          <w:sz w:val="28"/>
          <w:szCs w:val="28"/>
          <w:lang w:val="uk-UA"/>
        </w:rPr>
      </w:pPr>
    </w:p>
    <w:p w:rsidR="00113D40" w:rsidRPr="00AB45D2" w:rsidRDefault="00113D40" w:rsidP="00113D40">
      <w:pPr>
        <w:pStyle w:val="aa"/>
        <w:tabs>
          <w:tab w:val="left" w:pos="2268"/>
        </w:tabs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45D2">
        <w:rPr>
          <w:rFonts w:ascii="Times New Roman" w:hAnsi="Times New Roman"/>
          <w:sz w:val="28"/>
          <w:szCs w:val="28"/>
          <w:lang w:val="uk-UA"/>
        </w:rPr>
        <w:t>2.5.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kern w:val="20"/>
          <w:sz w:val="28"/>
          <w:szCs w:val="28"/>
          <w:lang w:val="uk-UA"/>
        </w:rPr>
        <w:t xml:space="preserve">Умови проведення конкурсу в номінації </w:t>
      </w:r>
      <w:r w:rsidRPr="00AB45D2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Комп'ютерна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графік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а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>»:</w:t>
      </w:r>
    </w:p>
    <w:p w:rsidR="00113D40" w:rsidRPr="00A24C0F" w:rsidRDefault="00113D40" w:rsidP="00113D40">
      <w:pPr>
        <w:pStyle w:val="aa"/>
        <w:tabs>
          <w:tab w:val="left" w:pos="2268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комп'ютерної графіки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приймаються роботи формату A4. 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Робота повинна створюватися тільки можливостями MS-Paint. Файл зберігається у форматі 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bmp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. Сканування та подальша обробка зображення не дозволяється. </w:t>
      </w:r>
      <w:r w:rsidRPr="00A24C0F">
        <w:rPr>
          <w:rFonts w:ascii="Times New Roman" w:hAnsi="Times New Roman"/>
          <w:bCs/>
          <w:sz w:val="28"/>
          <w:szCs w:val="28"/>
          <w:lang w:val="uk-UA"/>
        </w:rPr>
        <w:t xml:space="preserve">Роботи приймаються обов’язково у електронному та друкованому вигляді. </w:t>
      </w:r>
      <w:r w:rsidR="00D257E4"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завантажується разом з анкетою. </w:t>
      </w:r>
      <w:r w:rsidRPr="00A24C0F">
        <w:rPr>
          <w:rFonts w:ascii="Times New Roman" w:hAnsi="Times New Roman"/>
          <w:bCs/>
          <w:sz w:val="28"/>
          <w:szCs w:val="28"/>
          <w:lang w:val="uk-UA"/>
        </w:rPr>
        <w:t>При невиконанні умов конкурсу, робота членами журі не перевіряється і може бути знята з конкурсу.</w:t>
      </w:r>
    </w:p>
    <w:p w:rsidR="00113D40" w:rsidRDefault="00113D40" w:rsidP="00113D40">
      <w:pPr>
        <w:ind w:left="426"/>
        <w:jc w:val="both"/>
        <w:rPr>
          <w:b/>
          <w:sz w:val="28"/>
          <w:szCs w:val="28"/>
          <w:lang w:val="uk-UA"/>
        </w:rPr>
      </w:pPr>
    </w:p>
    <w:p w:rsidR="00113D40" w:rsidRDefault="00113D40" w:rsidP="00113D40">
      <w:pPr>
        <w:pStyle w:val="aa"/>
        <w:tabs>
          <w:tab w:val="num" w:pos="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   2.6.</w:t>
      </w:r>
      <w:r w:rsidRPr="005942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kern w:val="20"/>
          <w:sz w:val="28"/>
          <w:szCs w:val="28"/>
          <w:lang w:val="uk-UA"/>
        </w:rPr>
        <w:t xml:space="preserve">Умови проведення конкурсу в номінації </w:t>
      </w:r>
      <w:r w:rsidRPr="00594241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Відеороликі</w:t>
      </w:r>
      <w:proofErr w:type="spellEnd"/>
      <w:r w:rsidRPr="00594241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та комп'ютерна</w:t>
      </w:r>
      <w:r w:rsidRPr="00594241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анімаці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я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>»:</w:t>
      </w:r>
    </w:p>
    <w:p w:rsidR="00113D40" w:rsidRPr="00594241" w:rsidRDefault="00113D40" w:rsidP="00113D40">
      <w:pPr>
        <w:pStyle w:val="aa"/>
        <w:tabs>
          <w:tab w:val="num" w:pos="0"/>
        </w:tabs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</w:t>
      </w:r>
      <w:r w:rsidRPr="00594241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відеороликів і комп'ютерної анімації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приймаються роботи,   виконані в різній техніці комп'ютерної анімації </w:t>
      </w:r>
      <w:r w:rsidRPr="00594241">
        <w:rPr>
          <w:rFonts w:ascii="Times New Roman" w:hAnsi="Times New Roman"/>
          <w:bCs/>
          <w:sz w:val="28"/>
          <w:szCs w:val="28"/>
          <w:lang w:val="uk-UA" w:eastAsia="uk-UA"/>
        </w:rPr>
        <w:t>у вигляді файлів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тривалістю: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:rsidR="00113D40" w:rsidRPr="00594241" w:rsidRDefault="00113D40" w:rsidP="00113D40">
      <w:pPr>
        <w:pStyle w:val="aa"/>
        <w:numPr>
          <w:ilvl w:val="0"/>
          <w:numId w:val="6"/>
        </w:numPr>
        <w:tabs>
          <w:tab w:val="clear" w:pos="2160"/>
          <w:tab w:val="num" w:pos="1800"/>
        </w:tabs>
        <w:ind w:hanging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ролик – від 10 до 30 секунд;</w:t>
      </w:r>
    </w:p>
    <w:p w:rsidR="00113D40" w:rsidRPr="00594241" w:rsidRDefault="00113D40" w:rsidP="00113D40">
      <w:pPr>
        <w:pStyle w:val="aa"/>
        <w:numPr>
          <w:ilvl w:val="0"/>
          <w:numId w:val="6"/>
        </w:numPr>
        <w:tabs>
          <w:tab w:val="clear" w:pos="2160"/>
          <w:tab w:val="num" w:pos="1800"/>
        </w:tabs>
        <w:ind w:hanging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фільм – від 1 до 5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ab/>
        <w:t>хвилин.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:rsidR="00113D40" w:rsidRPr="00594241" w:rsidRDefault="00113D40" w:rsidP="00113D40">
      <w:pPr>
        <w:pStyle w:val="aa"/>
        <w:tabs>
          <w:tab w:val="left" w:pos="226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Для створення анімації дозволяється використовувати будь-який анімаційний пакет. Презентацію дозволяється створювати за допомогою довільного редактора. Зберігати файл потрібно у форматі програми, за допомогою якої виконувалася ця робота, в MS Office  2003, 2007,2010. 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Розмір папки з роботою не має перевищувати 30 Мбайт. </w:t>
      </w:r>
    </w:p>
    <w:p w:rsidR="00113D40" w:rsidRPr="00365452" w:rsidRDefault="00D257E4" w:rsidP="00113D40">
      <w:pPr>
        <w:ind w:firstLine="426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Еле</w:t>
      </w:r>
      <w:r>
        <w:rPr>
          <w:bCs/>
          <w:sz w:val="28"/>
          <w:szCs w:val="28"/>
          <w:lang w:val="uk-UA"/>
        </w:rPr>
        <w:t>ктронний варіант завантажується разом з анкетою.</w:t>
      </w:r>
    </w:p>
    <w:p w:rsidR="00113D40" w:rsidRPr="00984100" w:rsidRDefault="00113D40" w:rsidP="00113D40">
      <w:pPr>
        <w:shd w:val="clear" w:color="auto" w:fill="FFFFFF"/>
        <w:spacing w:line="293" w:lineRule="atLeast"/>
        <w:ind w:firstLine="426"/>
        <w:jc w:val="both"/>
        <w:rPr>
          <w:rFonts w:eastAsia="Times New Roman"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val="uk-UA"/>
        </w:rPr>
        <w:t xml:space="preserve">2.7. </w:t>
      </w:r>
      <w:r w:rsidRPr="00A24C0F">
        <w:rPr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</w:t>
      </w:r>
      <w:r>
        <w:rPr>
          <w:sz w:val="28"/>
          <w:szCs w:val="28"/>
          <w:lang w:val="uk-UA"/>
        </w:rPr>
        <w:t>.</w:t>
      </w:r>
    </w:p>
    <w:p w:rsidR="00113D40" w:rsidRPr="00594241" w:rsidRDefault="00113D40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2.8.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113D40" w:rsidRDefault="00113D40" w:rsidP="00113D40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2.9.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Обов’язково!</w:t>
      </w:r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 xml:space="preserve">  До кожної роботи у номінаціях арт – дизайн, </w:t>
      </w:r>
      <w:proofErr w:type="spellStart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>фотоколаж</w:t>
      </w:r>
      <w:proofErr w:type="spellEnd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 xml:space="preserve">, комп’ютерна графіка повинна надаватися етикетка розміром 8 х </w:t>
      </w:r>
      <w:smartTag w:uri="urn:schemas-microsoft-com:office:smarttags" w:element="metricconverter">
        <w:smartTagPr>
          <w:attr w:name="ProductID" w:val="3 см"/>
        </w:smartTagPr>
        <w:r w:rsidRPr="00594241">
          <w:rPr>
            <w:rFonts w:ascii="Times New Roman" w:hAnsi="Times New Roman"/>
            <w:b/>
            <w:sz w:val="28"/>
            <w:szCs w:val="28"/>
            <w:lang w:val="uk-UA" w:eastAsia="uk-UA"/>
          </w:rPr>
          <w:t>3 см</w:t>
        </w:r>
      </w:smartTag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 xml:space="preserve">. На етикетці указується: назва роботи, прізвище, ім’я учасника, школа, клас, місто район. Шрифт </w:t>
      </w:r>
      <w:proofErr w:type="spellStart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>Тімеs</w:t>
      </w:r>
      <w:proofErr w:type="spellEnd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>New</w:t>
      </w:r>
      <w:proofErr w:type="spellEnd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>Roman</w:t>
      </w:r>
      <w:proofErr w:type="spellEnd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 xml:space="preserve">, розмір 14 </w:t>
      </w:r>
      <w:proofErr w:type="spellStart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>пк</w:t>
      </w:r>
      <w:proofErr w:type="spellEnd"/>
      <w:r w:rsidRPr="00594241">
        <w:rPr>
          <w:rFonts w:ascii="Times New Roman" w:hAnsi="Times New Roman"/>
          <w:b/>
          <w:sz w:val="28"/>
          <w:szCs w:val="28"/>
          <w:lang w:val="uk-UA" w:eastAsia="uk-UA"/>
        </w:rPr>
        <w:t>. На роботі не повинно бути ніяких написів, зроблених олівцем або ручкою. Роботи які містять сторонні написи (з обох боків) до конкурсу не допускаються.</w:t>
      </w:r>
    </w:p>
    <w:p w:rsidR="00D257E4" w:rsidRDefault="00D257E4" w:rsidP="00113D40">
      <w:pPr>
        <w:rPr>
          <w:b/>
          <w:bCs/>
          <w:color w:val="000000"/>
          <w:sz w:val="28"/>
          <w:szCs w:val="28"/>
          <w:lang w:val="uk-UA"/>
        </w:rPr>
      </w:pPr>
    </w:p>
    <w:p w:rsidR="00113D40" w:rsidRPr="00853091" w:rsidRDefault="00113D40" w:rsidP="00113D40">
      <w:pPr>
        <w:rPr>
          <w:b/>
          <w:lang w:val="uk-UA"/>
        </w:rPr>
      </w:pPr>
      <w:r w:rsidRPr="00853091">
        <w:rPr>
          <w:b/>
          <w:bCs/>
          <w:color w:val="000000"/>
          <w:sz w:val="28"/>
          <w:szCs w:val="28"/>
          <w:lang w:val="uk-UA"/>
        </w:rPr>
        <w:lastRenderedPageBreak/>
        <w:t>Увага!</w:t>
      </w:r>
      <w:r w:rsidRPr="00853091">
        <w:rPr>
          <w:b/>
          <w:sz w:val="28"/>
          <w:szCs w:val="28"/>
          <w:u w:val="single"/>
          <w:lang w:val="uk-UA"/>
        </w:rPr>
        <w:t xml:space="preserve"> </w:t>
      </w:r>
      <w:r w:rsidRPr="00853091">
        <w:rPr>
          <w:b/>
          <w:sz w:val="28"/>
          <w:szCs w:val="28"/>
          <w:lang w:val="uk-UA"/>
        </w:rPr>
        <w:t xml:space="preserve">Обов’язкова електронна реєстрація учасників за посиланням: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bookmarkStart w:id="2" w:name="_GoBack"/>
      <w:bookmarkEnd w:id="2"/>
      <w:r w:rsidR="00D257E4">
        <w:rPr>
          <w:sz w:val="32"/>
          <w:szCs w:val="32"/>
          <w:lang w:val="uk-UA"/>
        </w:rPr>
        <w:t>Еле</w:t>
      </w:r>
      <w:r w:rsidR="00D257E4">
        <w:rPr>
          <w:bCs/>
          <w:sz w:val="28"/>
          <w:szCs w:val="28"/>
          <w:lang w:val="uk-UA"/>
        </w:rPr>
        <w:t>ктронний варіант завантажується разом з анкетою.</w:t>
      </w:r>
    </w:p>
    <w:p w:rsidR="00113D40" w:rsidRPr="00853091" w:rsidRDefault="00113D40" w:rsidP="00113D40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Без електронної реєстрації учасник до конкурсу не допускається. Анкета заповнюється на кожну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работу</w:t>
      </w:r>
      <w:proofErr w:type="spellEnd"/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.</w:t>
      </w:r>
    </w:p>
    <w:p w:rsidR="00113D40" w:rsidRDefault="00113D40" w:rsidP="00113D40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113D40" w:rsidRPr="001D53DA" w:rsidRDefault="00113D40" w:rsidP="00113D40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</w:rPr>
      </w:pPr>
      <w:r w:rsidRPr="006E28FD">
        <w:rPr>
          <w:rFonts w:eastAsia="Times New Roman"/>
          <w:sz w:val="28"/>
          <w:szCs w:val="28"/>
          <w:lang w:val="uk-UA" w:eastAsia="ru-RU"/>
        </w:rPr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>
        <w:rPr>
          <w:sz w:val="28"/>
          <w:szCs w:val="28"/>
          <w:lang w:val="uk-UA"/>
        </w:rPr>
        <w:t xml:space="preserve">учні </w:t>
      </w:r>
      <w:r w:rsidRPr="001D53DA">
        <w:rPr>
          <w:sz w:val="28"/>
          <w:szCs w:val="28"/>
          <w:lang w:val="uk-UA"/>
        </w:rPr>
        <w:t>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молоді, яка відвідує комп’ютерні гуртки та не досягла 18 років. </w:t>
      </w:r>
    </w:p>
    <w:p w:rsidR="00113D40" w:rsidRPr="00A24C0F" w:rsidRDefault="00113D40" w:rsidP="00113D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3.2.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 для проведення </w:t>
      </w:r>
      <w:r>
        <w:rPr>
          <w:rFonts w:eastAsia="Times New Roman"/>
          <w:sz w:val="28"/>
          <w:szCs w:val="28"/>
          <w:lang w:val="uk-UA" w:eastAsia="ru-RU"/>
        </w:rPr>
        <w:t>за</w:t>
      </w:r>
      <w:r w:rsidRPr="006E28FD">
        <w:rPr>
          <w:rFonts w:eastAsia="Times New Roman"/>
          <w:sz w:val="28"/>
          <w:szCs w:val="28"/>
          <w:lang w:val="uk-UA" w:eastAsia="ru-RU"/>
        </w:rPr>
        <w:t>очного етапу конкурсу.</w:t>
      </w:r>
    </w:p>
    <w:p w:rsidR="00113D40" w:rsidRPr="00EE40D2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3.4.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Учасники конкурсу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заявку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(Додаток1);</w:t>
      </w:r>
    </w:p>
    <w:p w:rsidR="00113D40" w:rsidRPr="00B05B2F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3" w:name="n42"/>
      <w:bookmarkEnd w:id="3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(додаток № 1)</w:t>
      </w:r>
      <w:r w:rsidRPr="00936D2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та електронному (за посиланням</w:t>
      </w:r>
      <w:r w:rsidRPr="00936D2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Роботи надсилати за адресою: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>. Дніпро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r>
        <w:rPr>
          <w:b/>
          <w:i/>
          <w:sz w:val="28"/>
          <w:szCs w:val="28"/>
          <w:lang w:val="uk-UA"/>
        </w:rPr>
        <w:t>.</w:t>
      </w:r>
    </w:p>
    <w:p w:rsidR="00113D40" w:rsidRPr="00D5060C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4" w:name="n43"/>
      <w:bookmarkEnd w:id="4"/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113D40" w:rsidRPr="00EE40D2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5" w:name="n44"/>
      <w:bookmarkEnd w:id="5"/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D00621" w:rsidRDefault="00113D40" w:rsidP="00113D40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113D40" w:rsidRPr="00936D27" w:rsidRDefault="00113D40" w:rsidP="00113D40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113D40" w:rsidRPr="00936D27" w:rsidRDefault="00113D40" w:rsidP="00113D40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</w:p>
    <w:p w:rsidR="00113D40" w:rsidRDefault="00113D40" w:rsidP="00113D40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113D40" w:rsidRPr="00D00621" w:rsidRDefault="00113D40" w:rsidP="00113D40">
      <w:pPr>
        <w:jc w:val="both"/>
        <w:rPr>
          <w:sz w:val="28"/>
          <w:szCs w:val="28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113D40" w:rsidRDefault="00113D40" w:rsidP="00113D40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F0465F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113D40" w:rsidRPr="00F0465F" w:rsidRDefault="00113D40" w:rsidP="00113D40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6" w:name="n70"/>
      <w:bookmarkStart w:id="7" w:name="n71"/>
      <w:bookmarkEnd w:id="6"/>
      <w:bookmarkEnd w:id="7"/>
      <w:r w:rsidRPr="00F0465F">
        <w:rPr>
          <w:rFonts w:eastAsia="Times New Roman"/>
          <w:color w:val="000000"/>
          <w:sz w:val="28"/>
          <w:szCs w:val="28"/>
          <w:lang w:eastAsia="ru-RU"/>
        </w:rPr>
        <w:lastRenderedPageBreak/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113D40" w:rsidRDefault="00113D40" w:rsidP="00113D40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8" w:name="n72"/>
      <w:bookmarkEnd w:id="8"/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9" w:name="n76"/>
      <w:bookmarkEnd w:id="9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7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1" w:name="n78"/>
      <w:bookmarkStart w:id="12" w:name="n79"/>
      <w:bookmarkEnd w:id="11"/>
      <w:bookmarkEnd w:id="12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113D40" w:rsidRPr="00B63905" w:rsidRDefault="00113D40" w:rsidP="00113D40">
      <w:pPr>
        <w:jc w:val="both"/>
        <w:rPr>
          <w:sz w:val="28"/>
          <w:szCs w:val="28"/>
          <w:lang w:val="uk-UA"/>
        </w:rPr>
      </w:pPr>
      <w:bookmarkStart w:id="13" w:name="n80"/>
      <w:bookmarkEnd w:id="13"/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65452" w:rsidRDefault="00113D40" w:rsidP="00113D40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>.1.Оцінювання робіт учасників Конкурсу здійснює журі, кількісний та якісний склад якого визначає оргкомітет;.</w:t>
      </w:r>
    </w:p>
    <w:p w:rsidR="00113D40" w:rsidRPr="00A24C0F" w:rsidRDefault="00113D40" w:rsidP="00113D40">
      <w:pPr>
        <w:ind w:firstLine="284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 xml:space="preserve">.2. </w:t>
      </w:r>
      <w:r w:rsidRPr="00A24C0F">
        <w:rPr>
          <w:sz w:val="28"/>
          <w:szCs w:val="28"/>
          <w:lang w:val="uk-UA"/>
        </w:rPr>
        <w:t>Роботи оцінюються по критеріях:</w:t>
      </w:r>
    </w:p>
    <w:p w:rsidR="00113D40" w:rsidRPr="00A24C0F" w:rsidRDefault="00113D40" w:rsidP="00113D40">
      <w:pPr>
        <w:numPr>
          <w:ilvl w:val="0"/>
          <w:numId w:val="7"/>
        </w:numPr>
        <w:tabs>
          <w:tab w:val="clear" w:pos="2160"/>
          <w:tab w:val="num" w:pos="1800"/>
        </w:tabs>
        <w:ind w:left="180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художня цінність роботи (загальне художнє враження від роботи, композиція (поєднання і співвідношення різних частин роботи), закінченість сюжетного і композиційного рішення, естетика та </w:t>
      </w:r>
      <w:proofErr w:type="spellStart"/>
      <w:r w:rsidRPr="00A24C0F">
        <w:rPr>
          <w:sz w:val="28"/>
          <w:szCs w:val="28"/>
          <w:lang w:val="uk-UA"/>
        </w:rPr>
        <w:t>інш</w:t>
      </w:r>
      <w:proofErr w:type="spellEnd"/>
      <w:r w:rsidRPr="00A24C0F">
        <w:rPr>
          <w:sz w:val="28"/>
          <w:szCs w:val="28"/>
          <w:lang w:val="uk-UA"/>
        </w:rPr>
        <w:t>.) – 50 балів;</w:t>
      </w:r>
    </w:p>
    <w:p w:rsidR="00113D40" w:rsidRPr="00A24C0F" w:rsidRDefault="00113D40" w:rsidP="00113D40">
      <w:pPr>
        <w:numPr>
          <w:ilvl w:val="0"/>
          <w:numId w:val="7"/>
        </w:numPr>
        <w:tabs>
          <w:tab w:val="clear" w:pos="2160"/>
          <w:tab w:val="num" w:pos="1800"/>
        </w:tabs>
        <w:ind w:left="180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творчо-смислова складова (глибина розкриття теми, оригінальність (новизна), авторський стиль, цікаве тематичне і сюжетне рішення позитивне емоційне враження від роботи та </w:t>
      </w:r>
      <w:proofErr w:type="spellStart"/>
      <w:r w:rsidRPr="00A24C0F">
        <w:rPr>
          <w:sz w:val="28"/>
          <w:szCs w:val="28"/>
          <w:lang w:val="uk-UA"/>
        </w:rPr>
        <w:t>інш</w:t>
      </w:r>
      <w:proofErr w:type="spellEnd"/>
      <w:r w:rsidRPr="00A24C0F">
        <w:rPr>
          <w:sz w:val="28"/>
          <w:szCs w:val="28"/>
          <w:lang w:val="uk-UA"/>
        </w:rPr>
        <w:t>.) – 50 балів;</w:t>
      </w:r>
    </w:p>
    <w:p w:rsidR="00113D40" w:rsidRPr="00A24C0F" w:rsidRDefault="00113D40" w:rsidP="00113D40">
      <w:pPr>
        <w:numPr>
          <w:ilvl w:val="0"/>
          <w:numId w:val="7"/>
        </w:numPr>
        <w:tabs>
          <w:tab w:val="clear" w:pos="2160"/>
          <w:tab w:val="num" w:pos="1800"/>
        </w:tabs>
        <w:ind w:left="180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вільне володіння графічними та анімаційними програмами (максимальне використання можливості програми), складність і якість малюнка;– 40 балів.</w:t>
      </w:r>
    </w:p>
    <w:p w:rsidR="00113D40" w:rsidRPr="00A24C0F" w:rsidRDefault="00113D40" w:rsidP="00113D40">
      <w:pPr>
        <w:ind w:left="720"/>
        <w:rPr>
          <w:b/>
          <w:bCs/>
          <w:i/>
          <w:iCs/>
          <w:sz w:val="28"/>
          <w:szCs w:val="28"/>
        </w:rPr>
      </w:pPr>
    </w:p>
    <w:p w:rsidR="00113D40" w:rsidRPr="00A24C0F" w:rsidRDefault="00113D40" w:rsidP="00113D40">
      <w:pPr>
        <w:ind w:left="720"/>
        <w:rPr>
          <w:sz w:val="28"/>
          <w:szCs w:val="28"/>
          <w:lang w:val="uk-UA"/>
        </w:rPr>
      </w:pPr>
      <w:r w:rsidRPr="00A24C0F">
        <w:rPr>
          <w:b/>
          <w:bCs/>
          <w:i/>
          <w:iCs/>
          <w:sz w:val="28"/>
          <w:szCs w:val="28"/>
          <w:lang w:val="uk-UA"/>
        </w:rPr>
        <w:t>Всього: 140 балів.</w:t>
      </w:r>
    </w:p>
    <w:p w:rsidR="00113D40" w:rsidRPr="00365452" w:rsidRDefault="00113D40" w:rsidP="00113D40">
      <w:pPr>
        <w:ind w:firstLine="360"/>
        <w:rPr>
          <w:b/>
          <w:sz w:val="28"/>
          <w:szCs w:val="28"/>
          <w:lang w:val="uk-UA"/>
        </w:rPr>
      </w:pPr>
    </w:p>
    <w:p w:rsidR="00113D40" w:rsidRPr="00365452" w:rsidRDefault="00113D40" w:rsidP="00113D40">
      <w:pPr>
        <w:shd w:val="clear" w:color="auto" w:fill="FFFFFF"/>
        <w:spacing w:line="331" w:lineRule="exact"/>
        <w:ind w:left="144" w:right="10" w:firstLine="282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Pr="00365452">
        <w:rPr>
          <w:sz w:val="28"/>
          <w:szCs w:val="28"/>
          <w:lang w:val="uk-UA"/>
        </w:rPr>
        <w:t xml:space="preserve">. </w:t>
      </w:r>
      <w:r w:rsidRPr="00365452">
        <w:rPr>
          <w:bCs/>
          <w:color w:val="000000"/>
          <w:sz w:val="28"/>
          <w:szCs w:val="28"/>
          <w:lang w:val="uk-UA"/>
        </w:rPr>
        <w:t>Переможці Конкурсу нагороджуються дипломами Дніпропетровського обласного центру науково – технічної творчості та інформаційних технологій учнівської молоді.</w:t>
      </w:r>
    </w:p>
    <w:p w:rsidR="00113D40" w:rsidRPr="00936D27" w:rsidRDefault="00113D40" w:rsidP="00113D40">
      <w:pPr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7.4.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113D40" w:rsidRPr="00636BFD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113D40" w:rsidRDefault="00113D40" w:rsidP="00113D40">
      <w:pPr>
        <w:shd w:val="clear" w:color="auto" w:fill="FFFFFF"/>
        <w:ind w:firstLine="450"/>
        <w:jc w:val="both"/>
        <w:textAlignment w:val="baseline"/>
        <w:rPr>
          <w:lang w:val="uk-UA"/>
        </w:rPr>
      </w:pPr>
      <w:bookmarkStart w:id="14" w:name="n98"/>
      <w:bookmarkEnd w:id="14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</w:p>
    <w:p w:rsidR="00113D40" w:rsidRDefault="00113D40" w:rsidP="00113D40">
      <w:pPr>
        <w:shd w:val="clear" w:color="auto" w:fill="FFFFFF"/>
        <w:ind w:firstLine="7080"/>
        <w:rPr>
          <w:sz w:val="24"/>
          <w:szCs w:val="24"/>
          <w:lang w:val="uk-UA"/>
        </w:rPr>
        <w:sectPr w:rsidR="00113D40" w:rsidSect="00C92763">
          <w:headerReference w:type="default" r:id="rId8"/>
          <w:pgSz w:w="11906" w:h="16838"/>
          <w:pgMar w:top="1134" w:right="566" w:bottom="1134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113D40" w:rsidRPr="003A0E0D" w:rsidRDefault="00113D40" w:rsidP="00113D40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</w:t>
      </w:r>
      <w:r w:rsidRPr="003A0E0D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 xml:space="preserve">1 </w:t>
      </w:r>
      <w:r w:rsidRPr="003A0E0D">
        <w:rPr>
          <w:sz w:val="24"/>
          <w:szCs w:val="24"/>
          <w:lang w:val="uk-UA"/>
        </w:rPr>
        <w:t xml:space="preserve">до листа </w:t>
      </w:r>
    </w:p>
    <w:p w:rsidR="00113D40" w:rsidRPr="003A0E0D" w:rsidRDefault="00113D40" w:rsidP="00113D40">
      <w:pPr>
        <w:jc w:val="right"/>
        <w:rPr>
          <w:sz w:val="24"/>
          <w:szCs w:val="24"/>
          <w:lang w:val="uk-UA"/>
        </w:rPr>
      </w:pPr>
      <w:r w:rsidRPr="003A0E0D">
        <w:rPr>
          <w:sz w:val="24"/>
          <w:szCs w:val="24"/>
          <w:lang w:val="uk-UA"/>
        </w:rPr>
        <w:t>КПНЗ «ДОЦНТТ та ІТУМ»</w:t>
      </w:r>
    </w:p>
    <w:p w:rsidR="00113D40" w:rsidRPr="003A0E0D" w:rsidRDefault="00113D40" w:rsidP="00113D40">
      <w:pP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Pr="00113D40">
        <w:rPr>
          <w:sz w:val="24"/>
          <w:szCs w:val="24"/>
        </w:rPr>
        <w:t xml:space="preserve">     </w:t>
      </w:r>
      <w:r>
        <w:rPr>
          <w:sz w:val="24"/>
          <w:szCs w:val="24"/>
          <w:lang w:val="uk-UA"/>
        </w:rPr>
        <w:t xml:space="preserve">       </w:t>
      </w:r>
      <w:r w:rsidRPr="003A0E0D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>                   </w:t>
      </w:r>
      <w:r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u w:val="single"/>
          <w:lang w:val="uk-UA"/>
        </w:rPr>
        <w:t>           </w:t>
      </w:r>
    </w:p>
    <w:p w:rsidR="00113D40" w:rsidRDefault="00113D40" w:rsidP="00113D40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113D40" w:rsidRPr="00535795" w:rsidRDefault="00113D40" w:rsidP="00113D40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:rsidR="00113D40" w:rsidRPr="00535795" w:rsidRDefault="00113D40" w:rsidP="00113D40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</w:t>
      </w:r>
      <w:r>
        <w:rPr>
          <w:b/>
          <w:bCs/>
          <w:sz w:val="28"/>
          <w:szCs w:val="28"/>
          <w:lang w:val="uk-UA"/>
        </w:rPr>
        <w:t>онкурсу комп’ютерної графіки та анімації</w:t>
      </w:r>
    </w:p>
    <w:p w:rsidR="00113D40" w:rsidRDefault="00113D40" w:rsidP="00113D40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:rsidR="00113D40" w:rsidRPr="00DF7622" w:rsidRDefault="00113D40" w:rsidP="00113D40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45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17"/>
        <w:gridCol w:w="1843"/>
        <w:gridCol w:w="1053"/>
        <w:gridCol w:w="1537"/>
        <w:gridCol w:w="1193"/>
        <w:gridCol w:w="1258"/>
        <w:gridCol w:w="1363"/>
        <w:gridCol w:w="3507"/>
      </w:tblGrid>
      <w:tr w:rsidR="00113D40" w:rsidRPr="00AE64F9" w:rsidTr="003D4ABA">
        <w:trPr>
          <w:cantSplit/>
          <w:trHeight w:val="1700"/>
        </w:trPr>
        <w:tc>
          <w:tcPr>
            <w:tcW w:w="518" w:type="dxa"/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317" w:type="dxa"/>
            <w:shd w:val="clear" w:color="auto" w:fill="auto"/>
          </w:tcPr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Прізвище, ім’я, по-батькові</w:t>
            </w:r>
          </w:p>
          <w:p w:rsidR="00113D40" w:rsidRPr="00AE64F9" w:rsidRDefault="00113D40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:rsidR="00113D40" w:rsidRPr="00AE64F9" w:rsidRDefault="00113D40" w:rsidP="003D4AB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53" w:type="dxa"/>
            <w:shd w:val="clear" w:color="auto" w:fill="auto"/>
          </w:tcPr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Школа, клас</w:t>
            </w:r>
          </w:p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shd w:val="clear" w:color="auto" w:fill="auto"/>
          </w:tcPr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Дата народження</w:t>
            </w:r>
          </w:p>
          <w:p w:rsidR="00113D40" w:rsidRPr="00AE64F9" w:rsidRDefault="00113D40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93" w:type="dxa"/>
            <w:shd w:val="clear" w:color="auto" w:fill="auto"/>
          </w:tcPr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Домашні адреса, телефон</w:t>
            </w:r>
          </w:p>
          <w:p w:rsidR="00113D40" w:rsidRPr="00AE64F9" w:rsidRDefault="00113D40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363" w:type="dxa"/>
            <w:shd w:val="clear" w:color="auto" w:fill="auto"/>
          </w:tcPr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3507" w:type="dxa"/>
            <w:shd w:val="clear" w:color="auto" w:fill="auto"/>
          </w:tcPr>
          <w:p w:rsidR="00113D40" w:rsidRPr="00AE64F9" w:rsidRDefault="00113D40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113D40" w:rsidRPr="00AE64F9" w:rsidTr="003D4ABA">
        <w:trPr>
          <w:trHeight w:val="418"/>
        </w:trPr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07" w:type="dxa"/>
            <w:tcBorders>
              <w:bottom w:val="single" w:sz="4" w:space="0" w:color="auto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3D40" w:rsidRPr="00AE64F9" w:rsidTr="003D4ABA">
        <w:trPr>
          <w:trHeight w:val="418"/>
        </w:trPr>
        <w:tc>
          <w:tcPr>
            <w:tcW w:w="51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3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3D40" w:rsidRPr="00AE64F9" w:rsidRDefault="00113D40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113D40" w:rsidRDefault="00113D40" w:rsidP="00113D40">
      <w:pPr>
        <w:rPr>
          <w:sz w:val="28"/>
          <w:szCs w:val="28"/>
          <w:lang w:val="uk-UA"/>
        </w:rPr>
      </w:pPr>
    </w:p>
    <w:p w:rsidR="00113D40" w:rsidRDefault="00113D40" w:rsidP="00113D40">
      <w:pPr>
        <w:rPr>
          <w:sz w:val="28"/>
          <w:szCs w:val="28"/>
          <w:lang w:val="uk-UA"/>
        </w:rPr>
      </w:pPr>
    </w:p>
    <w:p w:rsidR="00113D40" w:rsidRDefault="00113D40" w:rsidP="00113D40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113D40" w:rsidRDefault="00113D40" w:rsidP="0011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113D40" w:rsidRDefault="00113D40" w:rsidP="00113D40">
      <w:pPr>
        <w:rPr>
          <w:b/>
          <w:sz w:val="24"/>
          <w:szCs w:val="24"/>
          <w:lang w:val="uk-UA"/>
        </w:rPr>
      </w:pPr>
    </w:p>
    <w:p w:rsidR="00113D40" w:rsidRDefault="00113D40" w:rsidP="00113D4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113D40" w:rsidRPr="000D0A9F" w:rsidRDefault="00113D40" w:rsidP="00113D40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113D40" w:rsidRPr="000D0A9F" w:rsidRDefault="00113D40" w:rsidP="00113D40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113D40" w:rsidRPr="000366C2" w:rsidRDefault="00113D40" w:rsidP="00113D40">
      <w:pPr>
        <w:jc w:val="center"/>
        <w:rPr>
          <w:sz w:val="24"/>
          <w:szCs w:val="24"/>
          <w:u w:val="single"/>
          <w:lang w:val="uk-UA"/>
        </w:rPr>
      </w:pPr>
    </w:p>
    <w:p w:rsidR="00E91CFA" w:rsidRPr="00113D40" w:rsidRDefault="00E91CFA">
      <w:pPr>
        <w:rPr>
          <w:lang w:val="uk-UA"/>
        </w:rPr>
      </w:pPr>
    </w:p>
    <w:sectPr w:rsidR="00E91CFA" w:rsidRPr="00113D40" w:rsidSect="00C92763">
      <w:pgSz w:w="16838" w:h="11906" w:orient="landscape"/>
      <w:pgMar w:top="1134" w:right="1134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257E4">
      <w:r>
        <w:separator/>
      </w:r>
    </w:p>
  </w:endnote>
  <w:endnote w:type="continuationSeparator" w:id="0">
    <w:p w:rsidR="00000000" w:rsidRDefault="00D2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257E4">
      <w:r>
        <w:separator/>
      </w:r>
    </w:p>
  </w:footnote>
  <w:footnote w:type="continuationSeparator" w:id="0">
    <w:p w:rsidR="00000000" w:rsidRDefault="00D25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Default="00113D4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257E4">
      <w:rPr>
        <w:noProof/>
      </w:rPr>
      <w:t>5</w:t>
    </w:r>
    <w:r>
      <w:fldChar w:fldCharType="end"/>
    </w:r>
  </w:p>
  <w:p w:rsidR="00C92763" w:rsidRDefault="00D257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113D40"/>
    <w:rsid w:val="004A6C19"/>
    <w:rsid w:val="00D257E4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CHILD</cp:lastModifiedBy>
  <cp:revision>2</cp:revision>
  <dcterms:created xsi:type="dcterms:W3CDTF">2018-11-05T11:27:00Z</dcterms:created>
  <dcterms:modified xsi:type="dcterms:W3CDTF">2019-10-28T14:24:00Z</dcterms:modified>
</cp:coreProperties>
</file>